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08B96" w14:textId="5F4D70BD" w:rsidR="001848C3" w:rsidRPr="00316C55" w:rsidRDefault="001848C3" w:rsidP="00467131">
      <w:pPr>
        <w:tabs>
          <w:tab w:val="left" w:pos="270"/>
          <w:tab w:val="left" w:pos="3261"/>
          <w:tab w:val="left" w:pos="382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316C5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                                                                                       Consiliului de administrație al ANRE</w:t>
      </w:r>
    </w:p>
    <w:p w14:paraId="04424B73" w14:textId="2E829283" w:rsidR="001848C3" w:rsidRPr="00316C55" w:rsidRDefault="001848C3" w:rsidP="00F83A6D">
      <w:pPr>
        <w:tabs>
          <w:tab w:val="left" w:pos="270"/>
          <w:tab w:val="left" w:pos="3261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40BEB111" w14:textId="77777777" w:rsidR="00B10182" w:rsidRPr="00316C55" w:rsidRDefault="00B10182" w:rsidP="004F4984">
      <w:pPr>
        <w:tabs>
          <w:tab w:val="left" w:pos="3261"/>
          <w:tab w:val="left" w:pos="38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03094971" w14:textId="7CEA39F7" w:rsidR="0073053D" w:rsidRPr="00316C55" w:rsidRDefault="007F60B2" w:rsidP="004F4984">
      <w:pPr>
        <w:tabs>
          <w:tab w:val="left" w:pos="3261"/>
          <w:tab w:val="left" w:pos="38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316C5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Notă </w:t>
      </w:r>
      <w:r w:rsidR="00530327" w:rsidRPr="00316C5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de </w:t>
      </w:r>
      <w:r w:rsidR="00A70653" w:rsidRPr="00316C5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fundamentare</w:t>
      </w:r>
    </w:p>
    <w:p w14:paraId="254AC72F" w14:textId="3F8EDB70" w:rsidR="00B34AD7" w:rsidRPr="00316C55" w:rsidRDefault="00503837" w:rsidP="00B34AD7">
      <w:pPr>
        <w:pStyle w:val="Normal"/>
        <w:spacing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316C55">
        <w:rPr>
          <w:rFonts w:ascii="Times New Roman" w:hAnsi="Times New Roman" w:cs="Times New Roman"/>
          <w:b/>
          <w:bCs/>
          <w:lang w:val="ro-MD"/>
        </w:rPr>
        <w:t>la proiectul Hotărârii</w:t>
      </w:r>
      <w:r w:rsidR="00787452" w:rsidRPr="00316C55">
        <w:rPr>
          <w:rFonts w:ascii="Times New Roman" w:hAnsi="Times New Roman" w:cs="Times New Roman"/>
          <w:b/>
          <w:bCs/>
          <w:lang w:val="ro-MD"/>
        </w:rPr>
        <w:t xml:space="preserve"> Consiliului de administrație al ANRE</w:t>
      </w:r>
      <w:r w:rsidRPr="00316C55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B34AD7" w:rsidRPr="00316C55">
        <w:rPr>
          <w:rFonts w:ascii="Times New Roman" w:hAnsi="Times New Roman" w:cs="Times New Roman"/>
          <w:b/>
          <w:bCs/>
          <w:lang w:val="ro-MD"/>
        </w:rPr>
        <w:t xml:space="preserve">cu privire la </w:t>
      </w:r>
      <w:r w:rsidR="00A413BA" w:rsidRPr="00316C55">
        <w:rPr>
          <w:rFonts w:ascii="Times New Roman" w:hAnsi="Times New Roman" w:cs="Times New Roman"/>
          <w:b/>
          <w:bCs/>
          <w:lang w:val="ro-MD"/>
        </w:rPr>
        <w:t>avizare</w:t>
      </w:r>
      <w:r w:rsidR="00BA33C9" w:rsidRPr="00316C55">
        <w:rPr>
          <w:rFonts w:ascii="Times New Roman" w:hAnsi="Times New Roman" w:cs="Times New Roman"/>
          <w:b/>
          <w:bCs/>
          <w:lang w:val="ro-MD"/>
        </w:rPr>
        <w:t>a</w:t>
      </w:r>
      <w:r w:rsidR="00A413BA" w:rsidRPr="00316C55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E16E70" w:rsidRPr="00316C55">
        <w:rPr>
          <w:rFonts w:ascii="Times New Roman" w:hAnsi="Times New Roman" w:cs="Times New Roman"/>
          <w:b/>
          <w:bCs/>
          <w:lang w:val="ro-MD"/>
        </w:rPr>
        <w:t>C</w:t>
      </w:r>
      <w:r w:rsidR="008878F2" w:rsidRPr="00316C55">
        <w:rPr>
          <w:rFonts w:ascii="Times New Roman" w:hAnsi="Times New Roman" w:cs="Times New Roman"/>
          <w:b/>
          <w:bCs/>
          <w:lang w:val="ro-MD"/>
        </w:rPr>
        <w:t xml:space="preserve">ontractelor cadru </w:t>
      </w:r>
      <w:r w:rsidR="00BA33C9" w:rsidRPr="00316C55">
        <w:rPr>
          <w:rFonts w:ascii="Times New Roman" w:hAnsi="Times New Roman" w:cs="Times New Roman"/>
          <w:b/>
          <w:bCs/>
          <w:lang w:val="ro-MD"/>
        </w:rPr>
        <w:t xml:space="preserve">și a procedurilor operaționale </w:t>
      </w:r>
      <w:r w:rsidR="004255C4">
        <w:rPr>
          <w:rFonts w:ascii="Times New Roman" w:hAnsi="Times New Roman" w:cs="Times New Roman"/>
          <w:b/>
          <w:bCs/>
          <w:lang w:val="ro-MD"/>
        </w:rPr>
        <w:t>aferente Regulamentelor</w:t>
      </w:r>
      <w:r w:rsidR="00FC01C5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FC01C5" w:rsidRPr="00FC01C5">
        <w:rPr>
          <w:rFonts w:ascii="Times New Roman" w:hAnsi="Times New Roman" w:cs="Times New Roman"/>
          <w:b/>
          <w:bCs/>
          <w:lang w:val="ro-MD"/>
        </w:rPr>
        <w:t>aprobate prin Hotărârea Consiliului de administrație al ANRE nr. 853/2025.</w:t>
      </w:r>
      <w:r w:rsidR="00FC01C5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E16E70" w:rsidRPr="00316C55">
        <w:rPr>
          <w:rFonts w:ascii="Times New Roman" w:hAnsi="Times New Roman" w:cs="Times New Roman"/>
          <w:b/>
          <w:bCs/>
          <w:lang w:val="ro-MD"/>
        </w:rPr>
        <w:t xml:space="preserve"> </w:t>
      </w:r>
    </w:p>
    <w:p w14:paraId="1E00A79F" w14:textId="7524F152" w:rsidR="008F7EF0" w:rsidRPr="00316C55" w:rsidRDefault="008F7EF0" w:rsidP="004F4984">
      <w:pPr>
        <w:pStyle w:val="Normal"/>
        <w:spacing w:line="276" w:lineRule="auto"/>
        <w:jc w:val="center"/>
        <w:rPr>
          <w:rFonts w:ascii="Times New Roman" w:hAnsi="Times New Roman"/>
          <w:lang w:val="ro-MD"/>
        </w:rPr>
      </w:pPr>
    </w:p>
    <w:p w14:paraId="66467117" w14:textId="77777777" w:rsidR="00B10182" w:rsidRPr="00316C55" w:rsidRDefault="00B10182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E42A272" w14:textId="569BE6A2" w:rsidR="00B34AD7" w:rsidRPr="00316C55" w:rsidRDefault="00B34AD7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În conformitate cu art. 39 alineat (1) și (2)  din Legea nr. 164/2025 cu privire la energia electrică la îndeplinirea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funcțiilor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și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obligațiilor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care îi revin în conformitate cu legea menționată, operatorul sistemului de transport</w:t>
      </w:r>
      <w:r w:rsidR="00630BCE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630BCE" w:rsidRPr="00316C55">
        <w:rPr>
          <w:rFonts w:ascii="Times New Roman" w:hAnsi="Times New Roman" w:cs="Times New Roman"/>
          <w:bCs/>
          <w:i/>
          <w:sz w:val="24"/>
          <w:szCs w:val="24"/>
          <w:lang w:val="ro-MD"/>
        </w:rPr>
        <w:t>(în continuare – OST)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trebuie să respecte regulile şi procedurile stabilite în codurile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rețelelor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și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în liniile directoare, aprobate de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Agenție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în conformitate cu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cerințele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stabilite în cadrul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Comunității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Energetice. Codurile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rețelelor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și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liniile directoare se elaborează de către operatorul sistemului de transport în conformitate cu codurile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rețelelor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și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liniile directoare corespunzătoare </w:t>
      </w:r>
      <w:r w:rsidR="00630BCE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adaptate și 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adoptate în cadrul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Comunității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Energetice.</w:t>
      </w:r>
    </w:p>
    <w:p w14:paraId="3D35A26A" w14:textId="6685333F" w:rsidR="00873A85" w:rsidRPr="00316C55" w:rsidRDefault="00B10182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Subsecvent, în corespundere cu alineatul (9) din același articol pentru implementarea codurilor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rețelelor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și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 liniilor directoare, operatorul sistemului de transport </w:t>
      </w:r>
      <w:r w:rsidR="00925948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a elaborat și a prezentat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spre aprobare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Agenției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propuneri</w:t>
      </w:r>
      <w:r w:rsidR="000105FA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le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de T</w:t>
      </w:r>
      <w:r w:rsidR="00C6145F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ermeni, Condiții și/sau 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>M</w:t>
      </w:r>
      <w:r w:rsidR="00C6145F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etodologii </w:t>
      </w:r>
      <w:r w:rsidR="00C6145F" w:rsidRPr="00316C55">
        <w:rPr>
          <w:rFonts w:ascii="Times New Roman" w:hAnsi="Times New Roman" w:cs="Times New Roman"/>
          <w:bCs/>
          <w:i/>
          <w:sz w:val="24"/>
          <w:szCs w:val="24"/>
          <w:lang w:val="ro-MD"/>
        </w:rPr>
        <w:t>(</w:t>
      </w:r>
      <w:r w:rsidR="00205F37" w:rsidRPr="00316C55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în continuare – </w:t>
      </w:r>
      <w:r w:rsidR="00C6145F" w:rsidRPr="00316C55">
        <w:rPr>
          <w:rFonts w:ascii="Times New Roman" w:hAnsi="Times New Roman" w:cs="Times New Roman"/>
          <w:bCs/>
          <w:i/>
          <w:sz w:val="24"/>
          <w:szCs w:val="24"/>
          <w:lang w:val="ro-MD"/>
        </w:rPr>
        <w:t>TCM-uri)</w:t>
      </w:r>
      <w:r w:rsidR="000105FA" w:rsidRPr="00316C55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 </w:t>
      </w:r>
      <w:r w:rsidR="000105FA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și anume, Regulamentul privind clauzele și condițiile pentru furnizorii de servicii de echilibrare </w:t>
      </w:r>
      <w:r w:rsidR="002C58DB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și Regulamentul privind clauzele și condițiile pentru părțile responsabile pentru echilibrare. Acestea au fost aprobate </w:t>
      </w:r>
      <w:r w:rsidR="0010375F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prin Hotărârea Consiliului de </w:t>
      </w:r>
      <w:r w:rsidR="00873A85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administrație al ANRE nr.</w:t>
      </w:r>
      <w:r w:rsidR="00BA33C9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873A85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853/2025.</w:t>
      </w:r>
      <w:r w:rsidR="00D8457F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     </w:t>
      </w:r>
    </w:p>
    <w:p w14:paraId="3EDBB493" w14:textId="54C6EBEA" w:rsidR="00D8457F" w:rsidRPr="00316C55" w:rsidRDefault="00D8457F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Conform pct. 20 din Regulile pieței energiei electrice aprobate prin Hotărârea Consiliului de administrație al ANRE nr. 283/2020, </w:t>
      </w:r>
      <w:r w:rsidRPr="00316C55">
        <w:rPr>
          <w:rFonts w:ascii="Times New Roman" w:hAnsi="Times New Roman" w:cs="Times New Roman"/>
          <w:bCs/>
          <w:sz w:val="24"/>
          <w:szCs w:val="24"/>
        </w:rPr>
        <w:t>în scopul aplicării Regulilor pieței energiei electrice, OPEE, OST, OSD elaborează proceduri proprii pe care le supun consultării publice și avizării de către Agenție.</w:t>
      </w:r>
    </w:p>
    <w:p w14:paraId="4D583DD6" w14:textId="1F0BF6BE" w:rsidR="00873A85" w:rsidRPr="00316C55" w:rsidRDefault="005928E9" w:rsidP="00873A85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În conformitate cu prevederile </w:t>
      </w:r>
      <w:r w:rsidR="00BA33C9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p</w:t>
      </w:r>
      <w:r w:rsidR="00873A85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ct. 272 din Regulamentul privind clauzele și condițiile pentru părțile responsabile pentru echilibrare și pct. 222 din Regulamentul privind clauzele și condițiile pentru furnizorii de servicii de echilibrare 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OST a elaborat și a supus </w:t>
      </w:r>
      <w:r w:rsidR="00BF37A6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consultărilor publice</w:t>
      </w:r>
      <w:r w:rsidR="00AF19C7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BF37A6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procedurile</w:t>
      </w:r>
      <w:r w:rsidR="00AF19C7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prevăzute de regulamentele menționate</w:t>
      </w:r>
      <w:r w:rsidR="00BF37A6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, respectând termenul de elaborare a acestora </w:t>
      </w:r>
      <w:r w:rsidR="0070228F">
        <w:rPr>
          <w:rFonts w:ascii="Times New Roman" w:hAnsi="Times New Roman" w:cs="Times New Roman"/>
          <w:bCs/>
          <w:sz w:val="24"/>
          <w:szCs w:val="24"/>
          <w:lang w:val="ro-MD"/>
        </w:rPr>
        <w:t>de</w:t>
      </w:r>
      <w:r w:rsidR="00BF37A6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6 luni de la intrarea în vigoare </w:t>
      </w:r>
      <w:r w:rsidR="00E1406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a Regulamentelor aprobate prin Hotărârea 853/2025.</w:t>
      </w:r>
      <w:r w:rsidR="0078062A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</w:p>
    <w:p w14:paraId="73CBED20" w14:textId="29059E5B" w:rsidR="00836CA6" w:rsidRPr="00316C55" w:rsidRDefault="00836CA6" w:rsidP="00836CA6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Astfel, OST </w:t>
      </w:r>
      <w:r w:rsidR="00184D65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prin adresările nr. 46-54/1985 din 12.06.2026 și nr.</w:t>
      </w:r>
      <w:r w:rsidR="0070228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184D65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46-52/2195 din 26.06.2026 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 prezentat Agenției spre avizare următoarele </w:t>
      </w:r>
      <w:r w:rsidR="0070228F">
        <w:rPr>
          <w:rFonts w:ascii="Times New Roman" w:hAnsi="Times New Roman" w:cs="Times New Roman"/>
          <w:bCs/>
          <w:sz w:val="24"/>
          <w:szCs w:val="24"/>
          <w:lang w:val="ro-MD"/>
        </w:rPr>
        <w:t>proiecte de contracte cadru și proceduri operaționale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>:</w:t>
      </w:r>
    </w:p>
    <w:p w14:paraId="5C09B3B7" w14:textId="25CBC3EE" w:rsidR="00AF19C7" w:rsidRPr="00316C55" w:rsidRDefault="00836CA6" w:rsidP="00836CA6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Proiectul Contractului cadru de echilibrare;</w:t>
      </w:r>
    </w:p>
    <w:p w14:paraId="15283803" w14:textId="553FD380" w:rsidR="00836CA6" w:rsidRPr="00316C55" w:rsidRDefault="00836CA6" w:rsidP="00836CA6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Proiectul Contractului cadru de participare la piața energiei electrice de echilibrare;</w:t>
      </w:r>
    </w:p>
    <w:p w14:paraId="0CA1A7C6" w14:textId="3AABD616" w:rsidR="00836CA6" w:rsidRPr="00316C55" w:rsidRDefault="00836CA6" w:rsidP="00836CA6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Proiectul Contractului cadru de furnizare a capacității pentru echilibrare;</w:t>
      </w:r>
    </w:p>
    <w:p w14:paraId="6D40D67E" w14:textId="4EEFD736" w:rsidR="00836CA6" w:rsidRPr="00316C55" w:rsidRDefault="00836CA6" w:rsidP="00836CA6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Procedura Operațională </w:t>
      </w:r>
      <w:r w:rsidR="005928E9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Cerințele privind înregistrarea în calitate de parte responsabilă pentru echilibrare”;</w:t>
      </w:r>
    </w:p>
    <w:p w14:paraId="08F23F8E" w14:textId="7E36D4A3" w:rsidR="00C67198" w:rsidRPr="00316C55" w:rsidRDefault="00C67198" w:rsidP="00836CA6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Procedura</w:t>
      </w:r>
      <w:r w:rsidR="005928E9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Operațională „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Achiziția prin licitație a capacității de echilibrare”;</w:t>
      </w:r>
    </w:p>
    <w:p w14:paraId="108AF84A" w14:textId="5F81A968" w:rsidR="005928E9" w:rsidRPr="00316C55" w:rsidRDefault="005928E9" w:rsidP="005928E9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Procedura Operațională „Înregistrarea, revocarea sau retragerea unui Furnizor de Servicii de Echilibrare de la Piață serviciilor de sistem”;</w:t>
      </w:r>
    </w:p>
    <w:p w14:paraId="43E0802C" w14:textId="35BFD96B" w:rsidR="005928E9" w:rsidRPr="00316C55" w:rsidRDefault="005928E9" w:rsidP="005928E9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Procedura Operațională „Înregistrarea, retragerea și revocarea unui Participant la Piața energiei electrice de Echilibrare”;</w:t>
      </w:r>
    </w:p>
    <w:p w14:paraId="62F1D3C4" w14:textId="6038C80D" w:rsidR="005928E9" w:rsidRPr="00316C55" w:rsidRDefault="005928E9" w:rsidP="005928E9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Procedura Operațională „Determinarea și selectarea energiei electrice de echilibrare”;</w:t>
      </w:r>
    </w:p>
    <w:p w14:paraId="06ACA9ED" w14:textId="3594C6BB" w:rsidR="005928E9" w:rsidRPr="00316C55" w:rsidRDefault="005928E9" w:rsidP="005928E9">
      <w:pPr>
        <w:pStyle w:val="a6"/>
        <w:numPr>
          <w:ilvl w:val="0"/>
          <w:numId w:val="37"/>
        </w:numPr>
        <w:tabs>
          <w:tab w:val="left" w:pos="3261"/>
          <w:tab w:val="left" w:pos="3828"/>
        </w:tabs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Procedura Operațională „Determinarea energiei electrice de echilibrare livrate”.</w:t>
      </w:r>
    </w:p>
    <w:p w14:paraId="2798D4E5" w14:textId="5798DFE6" w:rsidR="007A3F9B" w:rsidRPr="00316C55" w:rsidRDefault="007A3F9B" w:rsidP="00465055">
      <w:pPr>
        <w:pStyle w:val="a6"/>
        <w:tabs>
          <w:tab w:val="left" w:pos="3261"/>
          <w:tab w:val="left" w:pos="3828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Contractele cadru de echilibrare, de participare la piața energiei electrice de echilibrare</w:t>
      </w:r>
      <w:r w:rsidR="00E715C3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, ș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 de furnizare a energiei </w:t>
      </w:r>
      <w:r w:rsidR="00E715C3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echilibrare </w:t>
      </w:r>
      <w:r w:rsidR="0070228F">
        <w:rPr>
          <w:rFonts w:ascii="Times New Roman" w:hAnsi="Times New Roman" w:cs="Times New Roman"/>
          <w:bCs/>
          <w:sz w:val="24"/>
          <w:szCs w:val="24"/>
          <w:lang w:val="ro-RO"/>
        </w:rPr>
        <w:t>cuprind în sine</w:t>
      </w:r>
      <w:r w:rsidR="0070228F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715C3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obligațiile participanților la piața de echilibrare, reglementarea raporturilor între părți, modalitățile de plată față de participantul la PEE, precum și </w:t>
      </w:r>
      <w:r w:rsidR="00E715C3" w:rsidRPr="00316C55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regularizarea și decontarea dezechilibrelor părților responsabile de echilibrare prin vânzarea și cumpărarea de energie electrică între părți.</w:t>
      </w:r>
    </w:p>
    <w:p w14:paraId="7A91C1AE" w14:textId="5D606F5B" w:rsidR="007A3F9B" w:rsidRPr="00316C55" w:rsidRDefault="00F1154B" w:rsidP="00FC52F6">
      <w:pPr>
        <w:pStyle w:val="a6"/>
        <w:tabs>
          <w:tab w:val="left" w:pos="3261"/>
          <w:tab w:val="left" w:pos="3828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Proceduri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>le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Operaționale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menționate stabilesc cadrul normativ operațional care vine să descrie la nivel tehnic și aplicativ activități precum: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modul de înregistrare, actualizare, retragere și revocare a înregistrării Părții Responsabile pentru Echilibrare, modul</w:t>
      </w:r>
      <w:r w:rsidRPr="00316C5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achiziție prin licitație a capacității pentru echilibrare necesară Î.S. „Moldelectrica” pentru asigurarea funcționării în condiții de siguranță a Sistemului Electroenergetic National, </w:t>
      </w:r>
      <w:r w:rsidR="00F4236F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procesu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="00F4236F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stabilit de Î.S. „Moldelectrica” privind înregistrarea, revocarea sau retragerea Furnizorilor de Servicii de Echilibrare pe Piața Serviciilor de Sistem, </w:t>
      </w:r>
      <w:r w:rsidR="00F4236F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preciz</w:t>
      </w:r>
      <w:r w:rsidR="009C7BC9">
        <w:rPr>
          <w:rFonts w:ascii="Times New Roman" w:hAnsi="Times New Roman" w:cs="Times New Roman"/>
          <w:bCs/>
          <w:sz w:val="24"/>
          <w:szCs w:val="24"/>
          <w:lang w:val="ro-MD"/>
        </w:rPr>
        <w:t>a</w:t>
      </w:r>
      <w:r w:rsidR="00F4236F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r</w:t>
      </w:r>
      <w:r w:rsidR="009C7BC9">
        <w:rPr>
          <w:rFonts w:ascii="Times New Roman" w:hAnsi="Times New Roman" w:cs="Times New Roman"/>
          <w:bCs/>
          <w:sz w:val="24"/>
          <w:szCs w:val="24"/>
          <w:lang w:val="ro-MD"/>
        </w:rPr>
        <w:t>ea</w:t>
      </w:r>
      <w:r w:rsidR="00F4236F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condițiilor și modului de înregistrare, retragere și revocare a înregistrării în calitate de Participant la Piața energiei electrice de Echilibrare,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C52F6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precum și modul de determinare și selectare a energiei electrice de echilibrare.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CCC2281" w14:textId="72D9EBC9" w:rsidR="00BD707C" w:rsidRPr="00316C55" w:rsidRDefault="00BD651C" w:rsidP="00DB77DC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>Î</w:t>
      </w:r>
      <w:r w:rsidR="00BD707C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n rezultatul consultărilor publice a </w:t>
      </w:r>
      <w:r w:rsidR="00710A50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C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ontractelor  cadru și a </w:t>
      </w:r>
      <w:r w:rsidR="00710A50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Procedurilor  operaționale </w:t>
      </w: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enumerate, </w:t>
      </w:r>
      <w:r w:rsidR="00392B20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operatorul de transport a recepționat avizele și propunerile de la părțile interesate, în a</w:t>
      </w:r>
      <w:r w:rsidR="00712A7E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cest sens fiind realizat</w:t>
      </w:r>
      <w:r w:rsidR="009C7BC9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 w:rsidR="00712A7E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tabele</w:t>
      </w:r>
      <w:r w:rsidR="00392B20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de sinteză</w:t>
      </w:r>
      <w:r w:rsidR="009C7BC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relevante</w:t>
      </w:r>
      <w:r w:rsidR="00392B20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. </w:t>
      </w:r>
    </w:p>
    <w:p w14:paraId="4313BCAD" w14:textId="579CDFA2" w:rsidR="00192731" w:rsidRPr="00316C55" w:rsidRDefault="00DB77DC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>U</w:t>
      </w:r>
      <w:r w:rsidR="00D5689B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rmare a examinării și considerării propunerilor </w:t>
      </w:r>
      <w:r w:rsidR="009C7BC9">
        <w:rPr>
          <w:rFonts w:ascii="Times New Roman" w:hAnsi="Times New Roman" w:cs="Times New Roman"/>
          <w:bCs/>
          <w:sz w:val="24"/>
          <w:szCs w:val="24"/>
          <w:lang w:val="ro-MD"/>
        </w:rPr>
        <w:t>rece</w:t>
      </w:r>
      <w:r w:rsidR="00B47326">
        <w:rPr>
          <w:rFonts w:ascii="Times New Roman" w:hAnsi="Times New Roman" w:cs="Times New Roman"/>
          <w:bCs/>
          <w:sz w:val="24"/>
          <w:szCs w:val="24"/>
          <w:lang w:val="ro-MD"/>
        </w:rPr>
        <w:t>p</w:t>
      </w:r>
      <w:r w:rsidR="009C7BC9">
        <w:rPr>
          <w:rFonts w:ascii="Times New Roman" w:hAnsi="Times New Roman" w:cs="Times New Roman"/>
          <w:bCs/>
          <w:sz w:val="24"/>
          <w:szCs w:val="24"/>
          <w:lang w:val="ro-MD"/>
        </w:rPr>
        <w:t>ționate</w:t>
      </w:r>
      <w:r w:rsidR="003C6A47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, OST a transmis</w:t>
      </w:r>
      <w:r w:rsidR="00392B20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către </w:t>
      </w:r>
      <w:r w:rsidR="003F46EA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Agenție</w:t>
      </w:r>
      <w:r w:rsidR="00392B20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spre </w:t>
      </w:r>
      <w:r w:rsidR="00712A7E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avizare</w:t>
      </w:r>
      <w:r w:rsidR="00FA3B84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, versiunile finale ale </w:t>
      </w:r>
      <w:r w:rsidR="00712A7E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contractelor cadru și a procedurilor </w:t>
      </w:r>
      <w:r w:rsidR="00623AE3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operaționale</w:t>
      </w:r>
      <w:r w:rsidR="003F46EA" w:rsidRPr="00316C55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</w:p>
    <w:p w14:paraId="7D2259A2" w14:textId="49731366" w:rsidR="008F53ED" w:rsidRPr="00316C55" w:rsidRDefault="008F53ED" w:rsidP="00710A50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/>
          <w:bCs/>
          <w:sz w:val="24"/>
          <w:szCs w:val="24"/>
          <w:lang w:val="ro-MD"/>
        </w:rPr>
        <w:t>Agenția a</w:t>
      </w:r>
      <w:r w:rsidR="00710A50" w:rsidRPr="00316C5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examinat </w:t>
      </w:r>
      <w:r w:rsidR="00710A50"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Procedurile operaționale și contractele cadru și a constatat că:</w:t>
      </w:r>
    </w:p>
    <w:p w14:paraId="5EBC1894" w14:textId="48EB9901" w:rsidR="00710A50" w:rsidRPr="00316C55" w:rsidRDefault="00710A50" w:rsidP="00465055">
      <w:pPr>
        <w:pStyle w:val="a6"/>
        <w:numPr>
          <w:ilvl w:val="0"/>
          <w:numId w:val="39"/>
        </w:numPr>
        <w:tabs>
          <w:tab w:val="left" w:pos="3261"/>
          <w:tab w:val="left" w:pos="3828"/>
        </w:tabs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OST a ținut cont de propunerile din procesul de consultări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publice și a integrat în proiectele finale propunerile părților interesate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64EAD68" w14:textId="411EA9ED" w:rsidR="00380CD8" w:rsidRPr="00316C55" w:rsidRDefault="00465055" w:rsidP="00465055">
      <w:pPr>
        <w:pStyle w:val="a6"/>
        <w:numPr>
          <w:ilvl w:val="0"/>
          <w:numId w:val="39"/>
        </w:numPr>
        <w:tabs>
          <w:tab w:val="left" w:pos="3261"/>
          <w:tab w:val="left" w:pos="3828"/>
        </w:tabs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="00710A50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a pct. 5.2.2. în Procedura operațională „Înregistrarea, revocarea sau retragerea unui Furnizor de Servicii de Echilibrare de la Piața Serviciilor de Sistem”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s-a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depistat 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neconformitate 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decizia 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s-a luat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rezultatul consultării publice.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Astfel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>, Agenția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efectuat </w:t>
      </w:r>
      <w:r w:rsidR="009C7BC9">
        <w:rPr>
          <w:rFonts w:ascii="Times New Roman" w:hAnsi="Times New Roman" w:cs="Times New Roman"/>
          <w:bCs/>
          <w:sz w:val="24"/>
          <w:szCs w:val="24"/>
          <w:lang w:val="ro-RO"/>
        </w:rPr>
        <w:t>ajustările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necesare în conținutul 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punctului nominalizat al 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procedurii operaționale respective</w:t>
      </w:r>
      <w:r w:rsidR="00FC01C5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3FB8816" w14:textId="1D9CA9A2" w:rsidR="00710A50" w:rsidRPr="003D65AB" w:rsidRDefault="009C7BC9" w:rsidP="00465055">
      <w:pPr>
        <w:pStyle w:val="a6"/>
        <w:numPr>
          <w:ilvl w:val="0"/>
          <w:numId w:val="39"/>
        </w:numPr>
        <w:tabs>
          <w:tab w:val="left" w:pos="3261"/>
          <w:tab w:val="left" w:pos="3828"/>
        </w:tabs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Procedurile operaționale și contractele cadrul</w:t>
      </w: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80CD8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prezentate spre avizare corespund </w:t>
      </w:r>
      <w:r w:rsidR="0091260D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principiile generale </w:t>
      </w:r>
      <w:r w:rsidR="00B47326">
        <w:rPr>
          <w:rFonts w:ascii="Times New Roman" w:hAnsi="Times New Roman" w:cs="Times New Roman"/>
          <w:bCs/>
          <w:sz w:val="24"/>
          <w:szCs w:val="24"/>
          <w:lang w:val="ro-RO"/>
        </w:rPr>
        <w:t>statuate în</w:t>
      </w:r>
      <w:r w:rsidR="00B47326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1260D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Legea nr. 164/2025 cu privire la energia electrică și prevederilor Regulilor pieței energiei electrice</w:t>
      </w:r>
      <w:r w:rsidR="00B4732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acest sens, </w:t>
      </w:r>
      <w:r w:rsid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cadrul normativ operațional dezvoltat de OST vine să clarifice aspecte de ordin tehnic, organizațional și/sau comercial.  </w:t>
      </w:r>
      <w:r w:rsidR="0091260D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10A50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7B258A90" w14:textId="75612B90" w:rsidR="00057491" w:rsidRPr="002104B1" w:rsidRDefault="00FC01C5" w:rsidP="002104B1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De menționat la fel că o parte din actele prezentate </w:t>
      </w:r>
      <w:r w:rsidR="00057491" w:rsidRPr="002104B1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de către OST Agenției spre avizare </w:t>
      </w:r>
      <w:r w:rsidR="00465055" w:rsidRPr="002104B1">
        <w:rPr>
          <w:rFonts w:ascii="Times New Roman" w:hAnsi="Times New Roman" w:cs="Times New Roman"/>
          <w:bCs/>
          <w:sz w:val="24"/>
          <w:szCs w:val="24"/>
          <w:lang w:val="ro-MD"/>
        </w:rPr>
        <w:t>și anume</w:t>
      </w:r>
      <w:r w:rsidR="00057491" w:rsidRPr="002104B1">
        <w:rPr>
          <w:rFonts w:ascii="Times New Roman" w:hAnsi="Times New Roman" w:cs="Times New Roman"/>
          <w:bCs/>
          <w:sz w:val="24"/>
          <w:szCs w:val="24"/>
          <w:lang w:val="ro-MD"/>
        </w:rPr>
        <w:t>:</w:t>
      </w:r>
    </w:p>
    <w:p w14:paraId="6A41A1AF" w14:textId="2BD13893" w:rsidR="00057491" w:rsidRPr="00316C55" w:rsidRDefault="00057491" w:rsidP="002104B1">
      <w:pPr>
        <w:pStyle w:val="a6"/>
        <w:numPr>
          <w:ilvl w:val="0"/>
          <w:numId w:val="41"/>
        </w:numPr>
        <w:tabs>
          <w:tab w:val="left" w:pos="1276"/>
          <w:tab w:val="left" w:pos="3828"/>
        </w:tabs>
        <w:ind w:left="993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Înregistrarea, retragerea și revocarea unui Participant la Piața energiei electrice de Echilibrare;</w:t>
      </w:r>
    </w:p>
    <w:p w14:paraId="72E49BA6" w14:textId="14742803" w:rsidR="00057491" w:rsidRPr="00316C55" w:rsidRDefault="00057491" w:rsidP="002104B1">
      <w:pPr>
        <w:pStyle w:val="a6"/>
        <w:numPr>
          <w:ilvl w:val="0"/>
          <w:numId w:val="41"/>
        </w:numPr>
        <w:tabs>
          <w:tab w:val="left" w:pos="1276"/>
          <w:tab w:val="left" w:pos="3828"/>
        </w:tabs>
        <w:ind w:left="993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Determinarea și selectarea energiei electrice de echilibrare;</w:t>
      </w:r>
    </w:p>
    <w:p w14:paraId="4AEDCD2D" w14:textId="0B5721B4" w:rsidR="00FC01C5" w:rsidRPr="00316C55" w:rsidRDefault="00057491" w:rsidP="002104B1">
      <w:pPr>
        <w:pStyle w:val="a6"/>
        <w:numPr>
          <w:ilvl w:val="0"/>
          <w:numId w:val="41"/>
        </w:numPr>
        <w:tabs>
          <w:tab w:val="left" w:pos="1276"/>
          <w:tab w:val="left" w:pos="3828"/>
        </w:tabs>
        <w:ind w:left="993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Determinarea energiei electrice de echilibrare livrate;</w:t>
      </w:r>
    </w:p>
    <w:p w14:paraId="2214F6DB" w14:textId="020DA52F" w:rsidR="00FC01C5" w:rsidRPr="002104B1" w:rsidRDefault="00057491" w:rsidP="002104B1">
      <w:pPr>
        <w:pStyle w:val="a6"/>
        <w:numPr>
          <w:ilvl w:val="0"/>
          <w:numId w:val="41"/>
        </w:numPr>
        <w:tabs>
          <w:tab w:val="left" w:pos="1276"/>
          <w:tab w:val="left" w:pos="3828"/>
        </w:tabs>
        <w:ind w:left="993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C01C5">
        <w:rPr>
          <w:rFonts w:ascii="Times New Roman" w:hAnsi="Times New Roman" w:cs="Times New Roman"/>
          <w:bCs/>
          <w:sz w:val="24"/>
          <w:szCs w:val="24"/>
          <w:lang w:val="ro-RO"/>
        </w:rPr>
        <w:t>Contractul cadru de participare la piața energiei electrice de echilibrare</w:t>
      </w:r>
      <w:r w:rsidR="003D65AB"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FC01C5"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au fost </w:t>
      </w:r>
      <w:r w:rsidR="003D65AB"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elaborate </w:t>
      </w:r>
      <w:r w:rsidR="00FC01C5"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OST </w:t>
      </w:r>
      <w:r w:rsidR="003D65AB" w:rsidRPr="00FC01C5">
        <w:rPr>
          <w:rFonts w:ascii="Times New Roman" w:hAnsi="Times New Roman" w:cs="Times New Roman"/>
          <w:bCs/>
          <w:sz w:val="24"/>
          <w:szCs w:val="24"/>
          <w:lang w:val="ro-RO"/>
        </w:rPr>
        <w:t>anterior</w:t>
      </w:r>
      <w:r w:rsidR="004255C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avizate de Agenție</w:t>
      </w:r>
      <w:r w:rsidR="003D65AB" w:rsidRPr="00FC01C5">
        <w:rPr>
          <w:rFonts w:ascii="Times New Roman" w:hAnsi="Times New Roman" w:cs="Times New Roman"/>
          <w:bCs/>
          <w:sz w:val="24"/>
          <w:szCs w:val="24"/>
          <w:lang w:val="ro-RO"/>
        </w:rPr>
        <w:t>, actualmente</w:t>
      </w:r>
      <w:r w:rsidR="009C7BC9"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C01C5" w:rsidRPr="00FC01C5">
        <w:rPr>
          <w:rFonts w:ascii="Times New Roman" w:hAnsi="Times New Roman" w:cs="Times New Roman"/>
          <w:bCs/>
          <w:sz w:val="24"/>
          <w:szCs w:val="24"/>
          <w:lang w:val="ro-RO"/>
        </w:rPr>
        <w:t>fiind</w:t>
      </w:r>
      <w:r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actualizate conform cerințelor Regulamentelor aprobate prin Hotărârea C</w:t>
      </w:r>
      <w:r w:rsidR="00FC01C5" w:rsidRPr="00FC01C5">
        <w:rPr>
          <w:rFonts w:ascii="Times New Roman" w:hAnsi="Times New Roman" w:cs="Times New Roman"/>
          <w:bCs/>
          <w:sz w:val="24"/>
          <w:szCs w:val="24"/>
          <w:lang w:val="ro-RO"/>
        </w:rPr>
        <w:t>onsiliului de administrație</w:t>
      </w:r>
      <w:r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 ANRE nr. 853/2025</w:t>
      </w:r>
      <w:r w:rsidR="00FC01C5" w:rsidRPr="002104B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C01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70162EBD" w14:textId="278B629C" w:rsidR="00DB77DC" w:rsidRPr="00FC01C5" w:rsidRDefault="00DB77DC" w:rsidP="002104B1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FC01C5">
        <w:rPr>
          <w:rFonts w:ascii="Times New Roman" w:hAnsi="Times New Roman" w:cs="Times New Roman"/>
          <w:bCs/>
          <w:sz w:val="24"/>
          <w:szCs w:val="24"/>
          <w:lang w:val="ro-MD"/>
        </w:rPr>
        <w:t>Astfel, considerând cele menționate mai sus, precum și faptul că alinierea cadrului normativ național din domeniul energiei la aquis-ul european reprezintă o precondiție pentru realizarea cuplării piețelor de energie, Departamentul energiei electrică și regenerabilă propune</w:t>
      </w:r>
      <w:r w:rsidR="004C44F6" w:rsidRPr="00FC01C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Consiliului de administrație al ANRE</w:t>
      </w:r>
      <w:r w:rsidRPr="00FC01C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de a </w:t>
      </w:r>
      <w:r w:rsidR="00387FB1" w:rsidRPr="00FC01C5">
        <w:rPr>
          <w:rFonts w:ascii="Times New Roman" w:hAnsi="Times New Roman" w:cs="Times New Roman"/>
          <w:bCs/>
          <w:sz w:val="24"/>
          <w:szCs w:val="24"/>
          <w:lang w:val="ro-MD"/>
        </w:rPr>
        <w:t>aviza</w:t>
      </w:r>
      <w:r w:rsidRPr="00FC01C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4255C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procedurile operaționale și contractele cadru prezentate de OST, în acest sens fiind elaborat proiectul de Hotărâre respectiv</w:t>
      </w:r>
      <w:r w:rsidR="00387FB1" w:rsidRPr="00FC01C5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</w:p>
    <w:p w14:paraId="7C25D0C2" w14:textId="51C69B56" w:rsidR="00384F36" w:rsidRPr="00316C55" w:rsidRDefault="00384F36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B420BA2" w14:textId="628C11E0" w:rsidR="00384F36" w:rsidRPr="00316C55" w:rsidRDefault="00384F36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296A301" w14:textId="57F83507" w:rsidR="00057491" w:rsidRPr="00316C55" w:rsidRDefault="00057491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68173B50" w14:textId="5E4B49DF" w:rsidR="00057491" w:rsidRPr="00316C55" w:rsidRDefault="00057491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095DD9BD" w14:textId="7076E673" w:rsidR="00057491" w:rsidRPr="00316C55" w:rsidRDefault="00057491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1C73ABDC" w14:textId="1C94E7EC" w:rsidR="00057491" w:rsidRPr="00316C55" w:rsidRDefault="00057491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6F990C4C" w14:textId="5CE7EB7C" w:rsidR="00384F36" w:rsidRPr="002104B1" w:rsidRDefault="00384F36" w:rsidP="002104B1">
      <w:pPr>
        <w:tabs>
          <w:tab w:val="left" w:pos="3261"/>
          <w:tab w:val="left" w:pos="382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D79B180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EXECUTOR: </w:t>
      </w:r>
      <w:bookmarkStart w:id="0" w:name="_GoBack"/>
      <w:bookmarkEnd w:id="0"/>
    </w:p>
    <w:p w14:paraId="209B58F0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2AFB613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t>Veaceslav ȚURCANU ___________________</w:t>
      </w:r>
    </w:p>
    <w:p w14:paraId="29E8A3F0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Consultant, Secția reglementări</w:t>
      </w:r>
    </w:p>
    <w:p w14:paraId="5CE5E808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>Departamentul energie electrică și regenerabilă</w:t>
      </w:r>
    </w:p>
    <w:p w14:paraId="7B037470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E96DE5A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CDD11AB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t>COORDONAT:</w:t>
      </w:r>
    </w:p>
    <w:p w14:paraId="17FB80F9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68F9E9C" w14:textId="79CDF8EB" w:rsidR="00384F36" w:rsidRPr="00316C55" w:rsidRDefault="00943F4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t>Lilian</w:t>
      </w:r>
      <w:r w:rsidR="00384F36"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t>BARCARU</w:t>
      </w:r>
      <w:r w:rsidR="00384F36" w:rsidRPr="00316C5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84F36" w:rsidRPr="00316C55">
        <w:rPr>
          <w:rFonts w:ascii="Times New Roman" w:hAnsi="Times New Roman" w:cs="Times New Roman"/>
          <w:bCs/>
          <w:sz w:val="24"/>
          <w:szCs w:val="24"/>
          <w:lang w:val="ro-RO"/>
        </w:rPr>
        <w:t>_____________________</w:t>
      </w:r>
    </w:p>
    <w:p w14:paraId="2B31B18B" w14:textId="1C3A422E" w:rsidR="00943F4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Șef </w:t>
      </w:r>
      <w:r w:rsidR="00943F46" w:rsidRPr="00316C5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Departamentul energie electrică și regenerabilă</w:t>
      </w:r>
    </w:p>
    <w:p w14:paraId="6EC48B74" w14:textId="07322E95" w:rsidR="00384F36" w:rsidRPr="00316C55" w:rsidRDefault="00384F36" w:rsidP="00943F46">
      <w:pPr>
        <w:pStyle w:val="a6"/>
        <w:tabs>
          <w:tab w:val="left" w:pos="3261"/>
          <w:tab w:val="left" w:pos="3828"/>
        </w:tabs>
        <w:ind w:left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E2A0F87" w14:textId="77777777" w:rsidR="00384F36" w:rsidRPr="00316C55" w:rsidRDefault="00384F36" w:rsidP="00943F46">
      <w:pPr>
        <w:pStyle w:val="a6"/>
        <w:tabs>
          <w:tab w:val="left" w:pos="3261"/>
          <w:tab w:val="left" w:pos="3828"/>
        </w:tabs>
        <w:ind w:hanging="11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6A00F06" w14:textId="77777777" w:rsidR="00384F36" w:rsidRPr="00316C55" w:rsidRDefault="00384F36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7DFF9F86" w14:textId="77777777" w:rsidR="00D5689B" w:rsidRPr="00316C55" w:rsidRDefault="00D5689B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8E1D81A" w14:textId="5FCEBADD" w:rsidR="00B32FCD" w:rsidRPr="00316C55" w:rsidRDefault="00A55335" w:rsidP="00B32FCD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</w:t>
      </w:r>
      <w:r w:rsidR="00B32FCD"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</w:t>
      </w:r>
    </w:p>
    <w:p w14:paraId="62791A8F" w14:textId="5AFCCE64" w:rsidR="009074C3" w:rsidRPr="00316C55" w:rsidRDefault="009074C3" w:rsidP="009074C3">
      <w:pPr>
        <w:pStyle w:val="a6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0FA7572" w14:textId="77777777" w:rsidR="00DF57A2" w:rsidRPr="00316C55" w:rsidRDefault="00DF57A2" w:rsidP="00DF57A2">
      <w:pPr>
        <w:pStyle w:val="a6"/>
        <w:tabs>
          <w:tab w:val="left" w:pos="3261"/>
          <w:tab w:val="left" w:pos="3828"/>
        </w:tabs>
        <w:spacing w:after="0"/>
        <w:ind w:left="128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D24C546" w14:textId="77777777" w:rsidR="00DF57A2" w:rsidRPr="00316C55" w:rsidRDefault="00DF57A2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6E81B615" w14:textId="2DD0CC84" w:rsidR="00881B6D" w:rsidRPr="00316C55" w:rsidRDefault="001848C3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316C5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    </w:t>
      </w:r>
    </w:p>
    <w:p w14:paraId="17651288" w14:textId="77777777" w:rsidR="008F7EF0" w:rsidRPr="00316C55" w:rsidRDefault="008F7EF0" w:rsidP="004F4984">
      <w:pPr>
        <w:tabs>
          <w:tab w:val="left" w:pos="567"/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06204E8B" w14:textId="77777777" w:rsidR="009551CD" w:rsidRPr="00316C55" w:rsidRDefault="009551CD" w:rsidP="00187DFF">
      <w:pPr>
        <w:tabs>
          <w:tab w:val="left" w:pos="9356"/>
        </w:tabs>
        <w:spacing w:after="0" w:line="240" w:lineRule="auto"/>
        <w:ind w:left="851" w:right="425" w:firstLine="142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sectPr w:rsidR="009551CD" w:rsidRPr="00316C55" w:rsidSect="00B84A22">
      <w:pgSz w:w="11906" w:h="16838"/>
      <w:pgMar w:top="709" w:right="992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4347" w14:textId="77777777" w:rsidR="00DB14F7" w:rsidRDefault="00DB14F7" w:rsidP="00335271">
      <w:pPr>
        <w:spacing w:after="0" w:line="240" w:lineRule="auto"/>
      </w:pPr>
      <w:r>
        <w:separator/>
      </w:r>
    </w:p>
  </w:endnote>
  <w:endnote w:type="continuationSeparator" w:id="0">
    <w:p w14:paraId="608BDD5B" w14:textId="77777777" w:rsidR="00DB14F7" w:rsidRDefault="00DB14F7" w:rsidP="0033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C8503" w14:textId="77777777" w:rsidR="00DB14F7" w:rsidRDefault="00DB14F7" w:rsidP="00335271">
      <w:pPr>
        <w:spacing w:after="0" w:line="240" w:lineRule="auto"/>
      </w:pPr>
      <w:r>
        <w:separator/>
      </w:r>
    </w:p>
  </w:footnote>
  <w:footnote w:type="continuationSeparator" w:id="0">
    <w:p w14:paraId="3934FD95" w14:textId="77777777" w:rsidR="00DB14F7" w:rsidRDefault="00DB14F7" w:rsidP="0033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CB00BA"/>
    <w:multiLevelType w:val="hybridMultilevel"/>
    <w:tmpl w:val="2AFC6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81B94"/>
    <w:multiLevelType w:val="hybridMultilevel"/>
    <w:tmpl w:val="ECD2B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664ED"/>
    <w:multiLevelType w:val="hybridMultilevel"/>
    <w:tmpl w:val="EAEE5966"/>
    <w:lvl w:ilvl="0" w:tplc="91D64A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DE255E"/>
    <w:multiLevelType w:val="hybridMultilevel"/>
    <w:tmpl w:val="7666B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7A94"/>
    <w:multiLevelType w:val="hybridMultilevel"/>
    <w:tmpl w:val="C87A81EA"/>
    <w:lvl w:ilvl="0" w:tplc="866C784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10B81CDD"/>
    <w:multiLevelType w:val="hybridMultilevel"/>
    <w:tmpl w:val="8F16B68E"/>
    <w:lvl w:ilvl="0" w:tplc="1BCA536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428B"/>
    <w:multiLevelType w:val="hybridMultilevel"/>
    <w:tmpl w:val="94309C9A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81D3E7A"/>
    <w:multiLevelType w:val="hybridMultilevel"/>
    <w:tmpl w:val="3C48FA94"/>
    <w:lvl w:ilvl="0" w:tplc="B18E2CD2">
      <w:start w:val="1"/>
      <w:numFmt w:val="decimal"/>
      <w:pStyle w:val="Firstbullet"/>
      <w:lvlText w:val="(%1)"/>
      <w:lvlJc w:val="left"/>
      <w:pPr>
        <w:ind w:left="502" w:hanging="360"/>
      </w:pPr>
      <w:rPr>
        <w:lang w:val="it-I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71EFD"/>
    <w:multiLevelType w:val="hybridMultilevel"/>
    <w:tmpl w:val="C56E9BA8"/>
    <w:lvl w:ilvl="0" w:tplc="BD5A9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5707F"/>
    <w:multiLevelType w:val="multilevel"/>
    <w:tmpl w:val="09181E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C7A96"/>
    <w:multiLevelType w:val="hybridMultilevel"/>
    <w:tmpl w:val="4412DF2C"/>
    <w:lvl w:ilvl="0" w:tplc="4646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33143"/>
    <w:multiLevelType w:val="hybridMultilevel"/>
    <w:tmpl w:val="195E7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3A596A"/>
    <w:multiLevelType w:val="hybridMultilevel"/>
    <w:tmpl w:val="750A9928"/>
    <w:lvl w:ilvl="0" w:tplc="071E81A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5607A8F"/>
    <w:multiLevelType w:val="hybridMultilevel"/>
    <w:tmpl w:val="F7A4EEB0"/>
    <w:lvl w:ilvl="0" w:tplc="54EA30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68DF"/>
    <w:multiLevelType w:val="hybridMultilevel"/>
    <w:tmpl w:val="DB1A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F1FEA"/>
    <w:multiLevelType w:val="hybridMultilevel"/>
    <w:tmpl w:val="D5746596"/>
    <w:lvl w:ilvl="0" w:tplc="B6FA3F04">
      <w:start w:val="2"/>
      <w:numFmt w:val="bullet"/>
      <w:lvlText w:val="-"/>
      <w:lvlJc w:val="left"/>
      <w:pPr>
        <w:ind w:left="95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7" w15:restartNumberingAfterBreak="0">
    <w:nsid w:val="301B35A8"/>
    <w:multiLevelType w:val="hybridMultilevel"/>
    <w:tmpl w:val="389E6B80"/>
    <w:lvl w:ilvl="0" w:tplc="464672B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33772CF5"/>
    <w:multiLevelType w:val="hybridMultilevel"/>
    <w:tmpl w:val="EDCE8DB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9930BA"/>
    <w:multiLevelType w:val="hybridMultilevel"/>
    <w:tmpl w:val="33F8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C27FE"/>
    <w:multiLevelType w:val="hybridMultilevel"/>
    <w:tmpl w:val="242E4ACA"/>
    <w:lvl w:ilvl="0" w:tplc="0700DD44">
      <w:start w:val="1"/>
      <w:numFmt w:val="decimal"/>
      <w:pStyle w:val="cris"/>
      <w:lvlText w:val="%1."/>
      <w:lvlJc w:val="left"/>
      <w:pPr>
        <w:ind w:left="0" w:firstLine="568"/>
      </w:pPr>
      <w:rPr>
        <w:rFonts w:ascii="Times New Roman" w:hAnsi="Times New Roman" w:cs="Times New Roman" w:hint="default"/>
        <w:b/>
        <w:bCs/>
        <w:i w:val="0"/>
        <w:strike w:val="0"/>
        <w:dstrike w:val="0"/>
        <w:sz w:val="24"/>
        <w:szCs w:val="24"/>
        <w:u w:val="none"/>
        <w:effect w:val="none"/>
      </w:rPr>
    </w:lvl>
    <w:lvl w:ilvl="1" w:tplc="04180019">
      <w:start w:val="1"/>
      <w:numFmt w:val="lowerLetter"/>
      <w:lvlText w:val="%2."/>
      <w:lvlJc w:val="left"/>
      <w:pPr>
        <w:ind w:left="1223" w:hanging="360"/>
      </w:pPr>
    </w:lvl>
    <w:lvl w:ilvl="2" w:tplc="0418001B">
      <w:start w:val="1"/>
      <w:numFmt w:val="lowerRoman"/>
      <w:lvlText w:val="%3."/>
      <w:lvlJc w:val="right"/>
      <w:pPr>
        <w:ind w:left="1943" w:hanging="180"/>
      </w:pPr>
    </w:lvl>
    <w:lvl w:ilvl="3" w:tplc="0418000F">
      <w:start w:val="1"/>
      <w:numFmt w:val="decimal"/>
      <w:lvlText w:val="%4."/>
      <w:lvlJc w:val="left"/>
      <w:pPr>
        <w:ind w:left="2663" w:hanging="360"/>
      </w:pPr>
    </w:lvl>
    <w:lvl w:ilvl="4" w:tplc="04180019">
      <w:start w:val="1"/>
      <w:numFmt w:val="lowerLetter"/>
      <w:lvlText w:val="%5."/>
      <w:lvlJc w:val="left"/>
      <w:pPr>
        <w:ind w:left="3383" w:hanging="360"/>
      </w:pPr>
    </w:lvl>
    <w:lvl w:ilvl="5" w:tplc="0418001B">
      <w:start w:val="1"/>
      <w:numFmt w:val="lowerRoman"/>
      <w:lvlText w:val="%6."/>
      <w:lvlJc w:val="right"/>
      <w:pPr>
        <w:ind w:left="4103" w:hanging="180"/>
      </w:pPr>
    </w:lvl>
    <w:lvl w:ilvl="6" w:tplc="0418000F">
      <w:start w:val="1"/>
      <w:numFmt w:val="decimal"/>
      <w:lvlText w:val="%7."/>
      <w:lvlJc w:val="left"/>
      <w:pPr>
        <w:ind w:left="4823" w:hanging="360"/>
      </w:pPr>
    </w:lvl>
    <w:lvl w:ilvl="7" w:tplc="04180019">
      <w:start w:val="1"/>
      <w:numFmt w:val="lowerLetter"/>
      <w:lvlText w:val="%8."/>
      <w:lvlJc w:val="left"/>
      <w:pPr>
        <w:ind w:left="5543" w:hanging="360"/>
      </w:pPr>
    </w:lvl>
    <w:lvl w:ilvl="8" w:tplc="0418001B">
      <w:start w:val="1"/>
      <w:numFmt w:val="lowerRoman"/>
      <w:lvlText w:val="%9."/>
      <w:lvlJc w:val="right"/>
      <w:pPr>
        <w:ind w:left="6263" w:hanging="180"/>
      </w:pPr>
    </w:lvl>
  </w:abstractNum>
  <w:abstractNum w:abstractNumId="21" w15:restartNumberingAfterBreak="0">
    <w:nsid w:val="3CEC6327"/>
    <w:multiLevelType w:val="hybridMultilevel"/>
    <w:tmpl w:val="54B2A7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BD052A"/>
    <w:multiLevelType w:val="hybridMultilevel"/>
    <w:tmpl w:val="C3E821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27387"/>
    <w:multiLevelType w:val="hybridMultilevel"/>
    <w:tmpl w:val="88A23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4ED5091"/>
    <w:multiLevelType w:val="hybridMultilevel"/>
    <w:tmpl w:val="3B906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27740"/>
    <w:multiLevelType w:val="hybridMultilevel"/>
    <w:tmpl w:val="373E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D6013"/>
    <w:multiLevelType w:val="hybridMultilevel"/>
    <w:tmpl w:val="3904C5C4"/>
    <w:lvl w:ilvl="0" w:tplc="40DEF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3360A7"/>
    <w:multiLevelType w:val="hybridMultilevel"/>
    <w:tmpl w:val="C56E9BA8"/>
    <w:lvl w:ilvl="0" w:tplc="BD5A9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205213A"/>
    <w:multiLevelType w:val="hybridMultilevel"/>
    <w:tmpl w:val="B482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3215E"/>
    <w:multiLevelType w:val="hybridMultilevel"/>
    <w:tmpl w:val="997CCD6E"/>
    <w:lvl w:ilvl="0" w:tplc="4646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C25CC"/>
    <w:multiLevelType w:val="hybridMultilevel"/>
    <w:tmpl w:val="6A64D9F4"/>
    <w:lvl w:ilvl="0" w:tplc="4646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501FF1"/>
    <w:multiLevelType w:val="hybridMultilevel"/>
    <w:tmpl w:val="761A4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54247"/>
    <w:multiLevelType w:val="hybridMultilevel"/>
    <w:tmpl w:val="AB44E1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EB02E0"/>
    <w:multiLevelType w:val="hybridMultilevel"/>
    <w:tmpl w:val="E0F82652"/>
    <w:lvl w:ilvl="0" w:tplc="5720F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649E5"/>
    <w:multiLevelType w:val="hybridMultilevel"/>
    <w:tmpl w:val="0FDE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92A2F"/>
    <w:multiLevelType w:val="multilevel"/>
    <w:tmpl w:val="EC3EC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1B044FC"/>
    <w:multiLevelType w:val="hybridMultilevel"/>
    <w:tmpl w:val="62F4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170F3"/>
    <w:multiLevelType w:val="hybridMultilevel"/>
    <w:tmpl w:val="10609A18"/>
    <w:lvl w:ilvl="0" w:tplc="4AC83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A71C4"/>
    <w:multiLevelType w:val="hybridMultilevel"/>
    <w:tmpl w:val="78468DB6"/>
    <w:lvl w:ilvl="0" w:tplc="E33AB80A">
      <w:start w:val="1"/>
      <w:numFmt w:val="decimal"/>
      <w:lvlText w:val="%1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F3BE64EC">
      <w:numFmt w:val="bullet"/>
      <w:lvlText w:val="•"/>
      <w:lvlJc w:val="left"/>
      <w:pPr>
        <w:ind w:left="1952" w:hanging="361"/>
      </w:pPr>
      <w:rPr>
        <w:rFonts w:hint="default"/>
        <w:lang w:val="ro-RO" w:eastAsia="en-US" w:bidi="ar-SA"/>
      </w:rPr>
    </w:lvl>
    <w:lvl w:ilvl="2" w:tplc="11FEBE16">
      <w:numFmt w:val="bullet"/>
      <w:lvlText w:val="•"/>
      <w:lvlJc w:val="left"/>
      <w:pPr>
        <w:ind w:left="2985" w:hanging="361"/>
      </w:pPr>
      <w:rPr>
        <w:rFonts w:hint="default"/>
        <w:lang w:val="ro-RO" w:eastAsia="en-US" w:bidi="ar-SA"/>
      </w:rPr>
    </w:lvl>
    <w:lvl w:ilvl="3" w:tplc="D1D8EBDC">
      <w:numFmt w:val="bullet"/>
      <w:lvlText w:val="•"/>
      <w:lvlJc w:val="left"/>
      <w:pPr>
        <w:ind w:left="4017" w:hanging="361"/>
      </w:pPr>
      <w:rPr>
        <w:rFonts w:hint="default"/>
        <w:lang w:val="ro-RO" w:eastAsia="en-US" w:bidi="ar-SA"/>
      </w:rPr>
    </w:lvl>
    <w:lvl w:ilvl="4" w:tplc="DF903DC8">
      <w:numFmt w:val="bullet"/>
      <w:lvlText w:val="•"/>
      <w:lvlJc w:val="left"/>
      <w:pPr>
        <w:ind w:left="5050" w:hanging="361"/>
      </w:pPr>
      <w:rPr>
        <w:rFonts w:hint="default"/>
        <w:lang w:val="ro-RO" w:eastAsia="en-US" w:bidi="ar-SA"/>
      </w:rPr>
    </w:lvl>
    <w:lvl w:ilvl="5" w:tplc="A03CC65C">
      <w:numFmt w:val="bullet"/>
      <w:lvlText w:val="•"/>
      <w:lvlJc w:val="left"/>
      <w:pPr>
        <w:ind w:left="6083" w:hanging="361"/>
      </w:pPr>
      <w:rPr>
        <w:rFonts w:hint="default"/>
        <w:lang w:val="ro-RO" w:eastAsia="en-US" w:bidi="ar-SA"/>
      </w:rPr>
    </w:lvl>
    <w:lvl w:ilvl="6" w:tplc="38A8071A">
      <w:numFmt w:val="bullet"/>
      <w:lvlText w:val="•"/>
      <w:lvlJc w:val="left"/>
      <w:pPr>
        <w:ind w:left="7115" w:hanging="361"/>
      </w:pPr>
      <w:rPr>
        <w:rFonts w:hint="default"/>
        <w:lang w:val="ro-RO" w:eastAsia="en-US" w:bidi="ar-SA"/>
      </w:rPr>
    </w:lvl>
    <w:lvl w:ilvl="7" w:tplc="E09C4B68">
      <w:numFmt w:val="bullet"/>
      <w:lvlText w:val="•"/>
      <w:lvlJc w:val="left"/>
      <w:pPr>
        <w:ind w:left="8148" w:hanging="361"/>
      </w:pPr>
      <w:rPr>
        <w:rFonts w:hint="default"/>
        <w:lang w:val="ro-RO" w:eastAsia="en-US" w:bidi="ar-SA"/>
      </w:rPr>
    </w:lvl>
    <w:lvl w:ilvl="8" w:tplc="39D0617E">
      <w:numFmt w:val="bullet"/>
      <w:lvlText w:val="•"/>
      <w:lvlJc w:val="left"/>
      <w:pPr>
        <w:ind w:left="9180" w:hanging="361"/>
      </w:pPr>
      <w:rPr>
        <w:rFonts w:hint="default"/>
        <w:lang w:val="ro-RO" w:eastAsia="en-US" w:bidi="ar-SA"/>
      </w:rPr>
    </w:lvl>
  </w:abstractNum>
  <w:abstractNum w:abstractNumId="40" w15:restartNumberingAfterBreak="0">
    <w:nsid w:val="7E2A746B"/>
    <w:multiLevelType w:val="hybridMultilevel"/>
    <w:tmpl w:val="1DEE9CD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6"/>
  </w:num>
  <w:num w:numId="6">
    <w:abstractNumId w:val="29"/>
  </w:num>
  <w:num w:numId="7">
    <w:abstractNumId w:val="38"/>
  </w:num>
  <w:num w:numId="8">
    <w:abstractNumId w:val="11"/>
  </w:num>
  <w:num w:numId="9">
    <w:abstractNumId w:val="0"/>
  </w:num>
  <w:num w:numId="10">
    <w:abstractNumId w:val="40"/>
  </w:num>
  <w:num w:numId="11">
    <w:abstractNumId w:val="25"/>
  </w:num>
  <w:num w:numId="12">
    <w:abstractNumId w:val="17"/>
  </w:num>
  <w:num w:numId="13">
    <w:abstractNumId w:val="6"/>
  </w:num>
  <w:num w:numId="14">
    <w:abstractNumId w:val="24"/>
  </w:num>
  <w:num w:numId="15">
    <w:abstractNumId w:val="22"/>
  </w:num>
  <w:num w:numId="16">
    <w:abstractNumId w:val="10"/>
  </w:num>
  <w:num w:numId="17">
    <w:abstractNumId w:val="14"/>
  </w:num>
  <w:num w:numId="18">
    <w:abstractNumId w:val="36"/>
  </w:num>
  <w:num w:numId="19">
    <w:abstractNumId w:val="15"/>
  </w:num>
  <w:num w:numId="20">
    <w:abstractNumId w:val="3"/>
  </w:num>
  <w:num w:numId="21">
    <w:abstractNumId w:val="7"/>
  </w:num>
  <w:num w:numId="22">
    <w:abstractNumId w:val="1"/>
  </w:num>
  <w:num w:numId="23">
    <w:abstractNumId w:val="32"/>
  </w:num>
  <w:num w:numId="24">
    <w:abstractNumId w:val="2"/>
  </w:num>
  <w:num w:numId="25">
    <w:abstractNumId w:val="4"/>
  </w:num>
  <w:num w:numId="26">
    <w:abstractNumId w:val="5"/>
  </w:num>
  <w:num w:numId="27">
    <w:abstractNumId w:val="19"/>
  </w:num>
  <w:num w:numId="28">
    <w:abstractNumId w:val="12"/>
  </w:num>
  <w:num w:numId="29">
    <w:abstractNumId w:val="37"/>
  </w:num>
  <w:num w:numId="30">
    <w:abstractNumId w:val="28"/>
  </w:num>
  <w:num w:numId="31">
    <w:abstractNumId w:val="39"/>
  </w:num>
  <w:num w:numId="32">
    <w:abstractNumId w:val="33"/>
  </w:num>
  <w:num w:numId="33">
    <w:abstractNumId w:val="13"/>
  </w:num>
  <w:num w:numId="34">
    <w:abstractNumId w:val="23"/>
  </w:num>
  <w:num w:numId="35">
    <w:abstractNumId w:val="18"/>
  </w:num>
  <w:num w:numId="36">
    <w:abstractNumId w:val="21"/>
  </w:num>
  <w:num w:numId="37">
    <w:abstractNumId w:val="27"/>
  </w:num>
  <w:num w:numId="38">
    <w:abstractNumId w:val="9"/>
  </w:num>
  <w:num w:numId="39">
    <w:abstractNumId w:val="26"/>
  </w:num>
  <w:num w:numId="40">
    <w:abstractNumId w:val="3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B2"/>
    <w:rsid w:val="00001435"/>
    <w:rsid w:val="000105FA"/>
    <w:rsid w:val="00013046"/>
    <w:rsid w:val="00017BF6"/>
    <w:rsid w:val="000327CB"/>
    <w:rsid w:val="000335E1"/>
    <w:rsid w:val="00037C78"/>
    <w:rsid w:val="000426EA"/>
    <w:rsid w:val="0005691E"/>
    <w:rsid w:val="0005742C"/>
    <w:rsid w:val="00057491"/>
    <w:rsid w:val="00057741"/>
    <w:rsid w:val="00063B1D"/>
    <w:rsid w:val="00076126"/>
    <w:rsid w:val="000779B6"/>
    <w:rsid w:val="00080BEF"/>
    <w:rsid w:val="000833A0"/>
    <w:rsid w:val="0009168A"/>
    <w:rsid w:val="000A1D5E"/>
    <w:rsid w:val="000B472E"/>
    <w:rsid w:val="000B71D9"/>
    <w:rsid w:val="000D478A"/>
    <w:rsid w:val="000D63ED"/>
    <w:rsid w:val="000E457D"/>
    <w:rsid w:val="000E6F95"/>
    <w:rsid w:val="000F1035"/>
    <w:rsid w:val="000F494A"/>
    <w:rsid w:val="0010375F"/>
    <w:rsid w:val="00107712"/>
    <w:rsid w:val="00122D53"/>
    <w:rsid w:val="001243E9"/>
    <w:rsid w:val="0013519E"/>
    <w:rsid w:val="00143913"/>
    <w:rsid w:val="001441E2"/>
    <w:rsid w:val="0014590E"/>
    <w:rsid w:val="00151C12"/>
    <w:rsid w:val="00163176"/>
    <w:rsid w:val="0016490D"/>
    <w:rsid w:val="00170FBC"/>
    <w:rsid w:val="00171725"/>
    <w:rsid w:val="00172A0E"/>
    <w:rsid w:val="001848C3"/>
    <w:rsid w:val="00184D65"/>
    <w:rsid w:val="0018547E"/>
    <w:rsid w:val="00187DFF"/>
    <w:rsid w:val="0019067C"/>
    <w:rsid w:val="00192731"/>
    <w:rsid w:val="001971EE"/>
    <w:rsid w:val="001B0430"/>
    <w:rsid w:val="001B05EA"/>
    <w:rsid w:val="001B4DDE"/>
    <w:rsid w:val="001D79CA"/>
    <w:rsid w:val="001E2B34"/>
    <w:rsid w:val="001F0D24"/>
    <w:rsid w:val="001F3F4C"/>
    <w:rsid w:val="001F7303"/>
    <w:rsid w:val="00205F37"/>
    <w:rsid w:val="002061AC"/>
    <w:rsid w:val="00206CDB"/>
    <w:rsid w:val="002104B1"/>
    <w:rsid w:val="002170BE"/>
    <w:rsid w:val="00222CD6"/>
    <w:rsid w:val="002364C9"/>
    <w:rsid w:val="00271D12"/>
    <w:rsid w:val="0029116B"/>
    <w:rsid w:val="0029329D"/>
    <w:rsid w:val="00297D5D"/>
    <w:rsid w:val="002B4C9A"/>
    <w:rsid w:val="002B6CF3"/>
    <w:rsid w:val="002C16F0"/>
    <w:rsid w:val="002C58DB"/>
    <w:rsid w:val="002C6713"/>
    <w:rsid w:val="002C7F87"/>
    <w:rsid w:val="002D5286"/>
    <w:rsid w:val="002F1AB4"/>
    <w:rsid w:val="002F560A"/>
    <w:rsid w:val="003018CE"/>
    <w:rsid w:val="00305186"/>
    <w:rsid w:val="00312F30"/>
    <w:rsid w:val="00316C55"/>
    <w:rsid w:val="0031756C"/>
    <w:rsid w:val="00321889"/>
    <w:rsid w:val="00330054"/>
    <w:rsid w:val="00335271"/>
    <w:rsid w:val="0034148D"/>
    <w:rsid w:val="00342542"/>
    <w:rsid w:val="00345B2C"/>
    <w:rsid w:val="00346F7B"/>
    <w:rsid w:val="00346FDC"/>
    <w:rsid w:val="00351CD1"/>
    <w:rsid w:val="00352E73"/>
    <w:rsid w:val="003552C1"/>
    <w:rsid w:val="00380CD8"/>
    <w:rsid w:val="00384F36"/>
    <w:rsid w:val="00387FB1"/>
    <w:rsid w:val="00391CD7"/>
    <w:rsid w:val="00392B20"/>
    <w:rsid w:val="0039532A"/>
    <w:rsid w:val="003A2519"/>
    <w:rsid w:val="003B650E"/>
    <w:rsid w:val="003C1A4D"/>
    <w:rsid w:val="003C2F87"/>
    <w:rsid w:val="003C6A47"/>
    <w:rsid w:val="003D65AB"/>
    <w:rsid w:val="003D75B4"/>
    <w:rsid w:val="003F2D97"/>
    <w:rsid w:val="003F46EA"/>
    <w:rsid w:val="003F7764"/>
    <w:rsid w:val="0040251C"/>
    <w:rsid w:val="00402DD0"/>
    <w:rsid w:val="00403899"/>
    <w:rsid w:val="00404DC6"/>
    <w:rsid w:val="004110C2"/>
    <w:rsid w:val="00411ED6"/>
    <w:rsid w:val="0041339C"/>
    <w:rsid w:val="00421738"/>
    <w:rsid w:val="004255C4"/>
    <w:rsid w:val="004325A2"/>
    <w:rsid w:val="00441E80"/>
    <w:rsid w:val="004500B6"/>
    <w:rsid w:val="00451DDD"/>
    <w:rsid w:val="0045652D"/>
    <w:rsid w:val="004578F9"/>
    <w:rsid w:val="00465055"/>
    <w:rsid w:val="00466ED0"/>
    <w:rsid w:val="00467131"/>
    <w:rsid w:val="004738D7"/>
    <w:rsid w:val="00490093"/>
    <w:rsid w:val="00491E46"/>
    <w:rsid w:val="004965BB"/>
    <w:rsid w:val="00497B3C"/>
    <w:rsid w:val="004A2B45"/>
    <w:rsid w:val="004A5C28"/>
    <w:rsid w:val="004C2FC1"/>
    <w:rsid w:val="004C44F6"/>
    <w:rsid w:val="004C4C6B"/>
    <w:rsid w:val="004C6C3F"/>
    <w:rsid w:val="004D77C0"/>
    <w:rsid w:val="004F4984"/>
    <w:rsid w:val="005006C4"/>
    <w:rsid w:val="00503837"/>
    <w:rsid w:val="00530327"/>
    <w:rsid w:val="00530F3D"/>
    <w:rsid w:val="00535D03"/>
    <w:rsid w:val="00544BF6"/>
    <w:rsid w:val="00560B74"/>
    <w:rsid w:val="00567032"/>
    <w:rsid w:val="00574EE6"/>
    <w:rsid w:val="00576877"/>
    <w:rsid w:val="00577C94"/>
    <w:rsid w:val="00590BA3"/>
    <w:rsid w:val="005928E9"/>
    <w:rsid w:val="00596E1D"/>
    <w:rsid w:val="005A394D"/>
    <w:rsid w:val="005A71AA"/>
    <w:rsid w:val="005B151D"/>
    <w:rsid w:val="005B1B73"/>
    <w:rsid w:val="005B61CD"/>
    <w:rsid w:val="005C3043"/>
    <w:rsid w:val="005C4FC8"/>
    <w:rsid w:val="005D1555"/>
    <w:rsid w:val="005E2F15"/>
    <w:rsid w:val="005F2829"/>
    <w:rsid w:val="005F7884"/>
    <w:rsid w:val="00611D88"/>
    <w:rsid w:val="00612A15"/>
    <w:rsid w:val="00612AD0"/>
    <w:rsid w:val="006145CD"/>
    <w:rsid w:val="0061555C"/>
    <w:rsid w:val="0061766F"/>
    <w:rsid w:val="006177A2"/>
    <w:rsid w:val="00623AE3"/>
    <w:rsid w:val="00624F0B"/>
    <w:rsid w:val="006279BF"/>
    <w:rsid w:val="006301FB"/>
    <w:rsid w:val="00630303"/>
    <w:rsid w:val="00630BCE"/>
    <w:rsid w:val="00630EE2"/>
    <w:rsid w:val="00631321"/>
    <w:rsid w:val="00633C38"/>
    <w:rsid w:val="00635C50"/>
    <w:rsid w:val="00637C40"/>
    <w:rsid w:val="006522DB"/>
    <w:rsid w:val="006543C6"/>
    <w:rsid w:val="00667F51"/>
    <w:rsid w:val="0067177B"/>
    <w:rsid w:val="00671B35"/>
    <w:rsid w:val="00672AFC"/>
    <w:rsid w:val="00674E23"/>
    <w:rsid w:val="00675AAF"/>
    <w:rsid w:val="00681621"/>
    <w:rsid w:val="00683C22"/>
    <w:rsid w:val="006915F9"/>
    <w:rsid w:val="0069214E"/>
    <w:rsid w:val="006A1462"/>
    <w:rsid w:val="006A49D7"/>
    <w:rsid w:val="006C2748"/>
    <w:rsid w:val="006D478B"/>
    <w:rsid w:val="006D7D30"/>
    <w:rsid w:val="006F15C7"/>
    <w:rsid w:val="006F525C"/>
    <w:rsid w:val="006F5804"/>
    <w:rsid w:val="006F6EFE"/>
    <w:rsid w:val="0070228F"/>
    <w:rsid w:val="0070517E"/>
    <w:rsid w:val="007061C5"/>
    <w:rsid w:val="00706F5A"/>
    <w:rsid w:val="00710A50"/>
    <w:rsid w:val="00710C00"/>
    <w:rsid w:val="00712A7E"/>
    <w:rsid w:val="00722BA0"/>
    <w:rsid w:val="0073053D"/>
    <w:rsid w:val="007305CF"/>
    <w:rsid w:val="00733EA6"/>
    <w:rsid w:val="00747825"/>
    <w:rsid w:val="00750BC6"/>
    <w:rsid w:val="00761476"/>
    <w:rsid w:val="00766EB5"/>
    <w:rsid w:val="007715F0"/>
    <w:rsid w:val="0078062A"/>
    <w:rsid w:val="007856C5"/>
    <w:rsid w:val="00787279"/>
    <w:rsid w:val="00787452"/>
    <w:rsid w:val="007A2379"/>
    <w:rsid w:val="007A3F9B"/>
    <w:rsid w:val="007A6753"/>
    <w:rsid w:val="007C0B57"/>
    <w:rsid w:val="007C20B1"/>
    <w:rsid w:val="007E2C82"/>
    <w:rsid w:val="007F140D"/>
    <w:rsid w:val="007F1F4D"/>
    <w:rsid w:val="007F284A"/>
    <w:rsid w:val="007F60B2"/>
    <w:rsid w:val="00803B6E"/>
    <w:rsid w:val="008171C4"/>
    <w:rsid w:val="00833949"/>
    <w:rsid w:val="00835A85"/>
    <w:rsid w:val="00836CA6"/>
    <w:rsid w:val="00841FF4"/>
    <w:rsid w:val="00842896"/>
    <w:rsid w:val="00843749"/>
    <w:rsid w:val="00843983"/>
    <w:rsid w:val="0084798B"/>
    <w:rsid w:val="00856A95"/>
    <w:rsid w:val="0086574C"/>
    <w:rsid w:val="0087111D"/>
    <w:rsid w:val="00871879"/>
    <w:rsid w:val="00873A85"/>
    <w:rsid w:val="00874876"/>
    <w:rsid w:val="008777E9"/>
    <w:rsid w:val="00881B6D"/>
    <w:rsid w:val="008878F2"/>
    <w:rsid w:val="008B1FC0"/>
    <w:rsid w:val="008B220E"/>
    <w:rsid w:val="008B688E"/>
    <w:rsid w:val="008D0432"/>
    <w:rsid w:val="008E0B1D"/>
    <w:rsid w:val="008F50DF"/>
    <w:rsid w:val="008F53ED"/>
    <w:rsid w:val="008F7EF0"/>
    <w:rsid w:val="009074C3"/>
    <w:rsid w:val="0091260D"/>
    <w:rsid w:val="0091596C"/>
    <w:rsid w:val="00916170"/>
    <w:rsid w:val="00920D19"/>
    <w:rsid w:val="00921841"/>
    <w:rsid w:val="00925948"/>
    <w:rsid w:val="0092780E"/>
    <w:rsid w:val="009316A7"/>
    <w:rsid w:val="00933327"/>
    <w:rsid w:val="009365C8"/>
    <w:rsid w:val="00943F46"/>
    <w:rsid w:val="00953077"/>
    <w:rsid w:val="009551CD"/>
    <w:rsid w:val="0095530C"/>
    <w:rsid w:val="00956002"/>
    <w:rsid w:val="009639DE"/>
    <w:rsid w:val="0097487D"/>
    <w:rsid w:val="00980E0E"/>
    <w:rsid w:val="00982CB2"/>
    <w:rsid w:val="009A4E9A"/>
    <w:rsid w:val="009B17D3"/>
    <w:rsid w:val="009B3607"/>
    <w:rsid w:val="009C1A82"/>
    <w:rsid w:val="009C7BC9"/>
    <w:rsid w:val="009E024E"/>
    <w:rsid w:val="009E13C1"/>
    <w:rsid w:val="009E1E7A"/>
    <w:rsid w:val="009E2802"/>
    <w:rsid w:val="009E7FF0"/>
    <w:rsid w:val="009F614B"/>
    <w:rsid w:val="00A002A0"/>
    <w:rsid w:val="00A04351"/>
    <w:rsid w:val="00A10DAB"/>
    <w:rsid w:val="00A10FB4"/>
    <w:rsid w:val="00A1763E"/>
    <w:rsid w:val="00A221BF"/>
    <w:rsid w:val="00A22ED4"/>
    <w:rsid w:val="00A24A48"/>
    <w:rsid w:val="00A2609E"/>
    <w:rsid w:val="00A27507"/>
    <w:rsid w:val="00A34B89"/>
    <w:rsid w:val="00A355D3"/>
    <w:rsid w:val="00A369A9"/>
    <w:rsid w:val="00A413BA"/>
    <w:rsid w:val="00A42233"/>
    <w:rsid w:val="00A47847"/>
    <w:rsid w:val="00A5158A"/>
    <w:rsid w:val="00A52AC6"/>
    <w:rsid w:val="00A55335"/>
    <w:rsid w:val="00A55A6C"/>
    <w:rsid w:val="00A63ACC"/>
    <w:rsid w:val="00A70653"/>
    <w:rsid w:val="00A70F9A"/>
    <w:rsid w:val="00A7252A"/>
    <w:rsid w:val="00A84737"/>
    <w:rsid w:val="00A85703"/>
    <w:rsid w:val="00A870F9"/>
    <w:rsid w:val="00A93BE5"/>
    <w:rsid w:val="00A949F3"/>
    <w:rsid w:val="00A97673"/>
    <w:rsid w:val="00AA2558"/>
    <w:rsid w:val="00AA78DC"/>
    <w:rsid w:val="00AB1C70"/>
    <w:rsid w:val="00AB6A97"/>
    <w:rsid w:val="00AC1960"/>
    <w:rsid w:val="00AC2185"/>
    <w:rsid w:val="00AC2FF6"/>
    <w:rsid w:val="00AD2F6E"/>
    <w:rsid w:val="00AD3424"/>
    <w:rsid w:val="00AE5C66"/>
    <w:rsid w:val="00AF19C7"/>
    <w:rsid w:val="00AF2247"/>
    <w:rsid w:val="00AF38D4"/>
    <w:rsid w:val="00AF3D39"/>
    <w:rsid w:val="00AF6F89"/>
    <w:rsid w:val="00AF71A7"/>
    <w:rsid w:val="00B02C08"/>
    <w:rsid w:val="00B10182"/>
    <w:rsid w:val="00B10694"/>
    <w:rsid w:val="00B23ECA"/>
    <w:rsid w:val="00B311AF"/>
    <w:rsid w:val="00B328E5"/>
    <w:rsid w:val="00B32FCD"/>
    <w:rsid w:val="00B33DB1"/>
    <w:rsid w:val="00B3401E"/>
    <w:rsid w:val="00B34AD7"/>
    <w:rsid w:val="00B34BA9"/>
    <w:rsid w:val="00B35A19"/>
    <w:rsid w:val="00B46F5A"/>
    <w:rsid w:val="00B47326"/>
    <w:rsid w:val="00B4744B"/>
    <w:rsid w:val="00B60F86"/>
    <w:rsid w:val="00B84A22"/>
    <w:rsid w:val="00B90C0C"/>
    <w:rsid w:val="00B9136D"/>
    <w:rsid w:val="00B969BC"/>
    <w:rsid w:val="00BA0B55"/>
    <w:rsid w:val="00BA33C9"/>
    <w:rsid w:val="00BA447E"/>
    <w:rsid w:val="00BB1B28"/>
    <w:rsid w:val="00BB2250"/>
    <w:rsid w:val="00BB502F"/>
    <w:rsid w:val="00BC38C1"/>
    <w:rsid w:val="00BC4FE9"/>
    <w:rsid w:val="00BC5D59"/>
    <w:rsid w:val="00BC6B52"/>
    <w:rsid w:val="00BD3D0C"/>
    <w:rsid w:val="00BD6503"/>
    <w:rsid w:val="00BD651C"/>
    <w:rsid w:val="00BD707C"/>
    <w:rsid w:val="00BE39B3"/>
    <w:rsid w:val="00BF37A6"/>
    <w:rsid w:val="00BF7701"/>
    <w:rsid w:val="00C02B7C"/>
    <w:rsid w:val="00C13D0F"/>
    <w:rsid w:val="00C3048A"/>
    <w:rsid w:val="00C3148C"/>
    <w:rsid w:val="00C34A9A"/>
    <w:rsid w:val="00C42288"/>
    <w:rsid w:val="00C451E3"/>
    <w:rsid w:val="00C56654"/>
    <w:rsid w:val="00C579F7"/>
    <w:rsid w:val="00C57B8E"/>
    <w:rsid w:val="00C6145F"/>
    <w:rsid w:val="00C67198"/>
    <w:rsid w:val="00C70020"/>
    <w:rsid w:val="00C7318A"/>
    <w:rsid w:val="00C777BB"/>
    <w:rsid w:val="00C86D6C"/>
    <w:rsid w:val="00C91AAD"/>
    <w:rsid w:val="00C93FF0"/>
    <w:rsid w:val="00C95E33"/>
    <w:rsid w:val="00CA2903"/>
    <w:rsid w:val="00CA56DA"/>
    <w:rsid w:val="00CA7380"/>
    <w:rsid w:val="00CC0D73"/>
    <w:rsid w:val="00CC1B1B"/>
    <w:rsid w:val="00CC2DB3"/>
    <w:rsid w:val="00CD6028"/>
    <w:rsid w:val="00CD78E0"/>
    <w:rsid w:val="00CE2BB7"/>
    <w:rsid w:val="00CF77FB"/>
    <w:rsid w:val="00CF7DF9"/>
    <w:rsid w:val="00D04C62"/>
    <w:rsid w:val="00D11BF5"/>
    <w:rsid w:val="00D222A0"/>
    <w:rsid w:val="00D23205"/>
    <w:rsid w:val="00D25CFC"/>
    <w:rsid w:val="00D339D2"/>
    <w:rsid w:val="00D36043"/>
    <w:rsid w:val="00D3683B"/>
    <w:rsid w:val="00D40233"/>
    <w:rsid w:val="00D44D1D"/>
    <w:rsid w:val="00D46AD7"/>
    <w:rsid w:val="00D47C47"/>
    <w:rsid w:val="00D5689B"/>
    <w:rsid w:val="00D60110"/>
    <w:rsid w:val="00D66EE9"/>
    <w:rsid w:val="00D72089"/>
    <w:rsid w:val="00D8457F"/>
    <w:rsid w:val="00D86B6B"/>
    <w:rsid w:val="00D91BB1"/>
    <w:rsid w:val="00D92EAA"/>
    <w:rsid w:val="00D936D7"/>
    <w:rsid w:val="00DA1DD3"/>
    <w:rsid w:val="00DA2DDA"/>
    <w:rsid w:val="00DB14F7"/>
    <w:rsid w:val="00DB186A"/>
    <w:rsid w:val="00DB3272"/>
    <w:rsid w:val="00DB77DC"/>
    <w:rsid w:val="00DC3A8D"/>
    <w:rsid w:val="00DC517C"/>
    <w:rsid w:val="00DC69F1"/>
    <w:rsid w:val="00DC7E9F"/>
    <w:rsid w:val="00DD76B4"/>
    <w:rsid w:val="00DE0B3F"/>
    <w:rsid w:val="00DE0DE5"/>
    <w:rsid w:val="00DE52CF"/>
    <w:rsid w:val="00DF57A2"/>
    <w:rsid w:val="00E05218"/>
    <w:rsid w:val="00E10A47"/>
    <w:rsid w:val="00E10D0C"/>
    <w:rsid w:val="00E12F94"/>
    <w:rsid w:val="00E1406C"/>
    <w:rsid w:val="00E16E70"/>
    <w:rsid w:val="00E17E70"/>
    <w:rsid w:val="00E2184B"/>
    <w:rsid w:val="00E25723"/>
    <w:rsid w:val="00E301F6"/>
    <w:rsid w:val="00E462A1"/>
    <w:rsid w:val="00E52C32"/>
    <w:rsid w:val="00E5377D"/>
    <w:rsid w:val="00E53C00"/>
    <w:rsid w:val="00E57318"/>
    <w:rsid w:val="00E667F5"/>
    <w:rsid w:val="00E715C3"/>
    <w:rsid w:val="00E7356F"/>
    <w:rsid w:val="00E74A8B"/>
    <w:rsid w:val="00E82AE7"/>
    <w:rsid w:val="00E91AD6"/>
    <w:rsid w:val="00E925BF"/>
    <w:rsid w:val="00E9699E"/>
    <w:rsid w:val="00E97A53"/>
    <w:rsid w:val="00EA1430"/>
    <w:rsid w:val="00EA4A1A"/>
    <w:rsid w:val="00EA5A44"/>
    <w:rsid w:val="00EA7AC1"/>
    <w:rsid w:val="00EB235F"/>
    <w:rsid w:val="00EB2F0F"/>
    <w:rsid w:val="00EC4B6F"/>
    <w:rsid w:val="00EC6748"/>
    <w:rsid w:val="00EC6CBF"/>
    <w:rsid w:val="00EC6D3C"/>
    <w:rsid w:val="00ED10FE"/>
    <w:rsid w:val="00EE014C"/>
    <w:rsid w:val="00EE369C"/>
    <w:rsid w:val="00EF06D3"/>
    <w:rsid w:val="00EF3DA2"/>
    <w:rsid w:val="00EF490B"/>
    <w:rsid w:val="00F0695E"/>
    <w:rsid w:val="00F07BE9"/>
    <w:rsid w:val="00F1154B"/>
    <w:rsid w:val="00F234F2"/>
    <w:rsid w:val="00F26E3E"/>
    <w:rsid w:val="00F31374"/>
    <w:rsid w:val="00F31CF9"/>
    <w:rsid w:val="00F3320B"/>
    <w:rsid w:val="00F42059"/>
    <w:rsid w:val="00F4236F"/>
    <w:rsid w:val="00F458D3"/>
    <w:rsid w:val="00F54050"/>
    <w:rsid w:val="00F65004"/>
    <w:rsid w:val="00F72060"/>
    <w:rsid w:val="00F743FB"/>
    <w:rsid w:val="00F76F38"/>
    <w:rsid w:val="00F83276"/>
    <w:rsid w:val="00F83A6D"/>
    <w:rsid w:val="00F90A57"/>
    <w:rsid w:val="00FA3B84"/>
    <w:rsid w:val="00FA7097"/>
    <w:rsid w:val="00FA789A"/>
    <w:rsid w:val="00FB1BFE"/>
    <w:rsid w:val="00FB5C66"/>
    <w:rsid w:val="00FB6F00"/>
    <w:rsid w:val="00FC01C5"/>
    <w:rsid w:val="00FC52F6"/>
    <w:rsid w:val="00FC56A0"/>
    <w:rsid w:val="00FD4948"/>
    <w:rsid w:val="00FD7F83"/>
    <w:rsid w:val="00FE1E9E"/>
    <w:rsid w:val="00FE2635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709D"/>
  <w15:chartTrackingRefBased/>
  <w15:docId w15:val="{7DD56279-9E9F-4D87-9331-46076A58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B2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F60B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F60B2"/>
    <w:rPr>
      <w:lang w:val="ro-RO"/>
    </w:rPr>
  </w:style>
  <w:style w:type="character" w:customStyle="1" w:styleId="a5">
    <w:name w:val="Абзац списка Знак"/>
    <w:link w:val="a6"/>
    <w:uiPriority w:val="34"/>
    <w:locked/>
    <w:rsid w:val="007F60B2"/>
  </w:style>
  <w:style w:type="paragraph" w:styleId="a6">
    <w:name w:val="List Paragraph"/>
    <w:basedOn w:val="a"/>
    <w:link w:val="a5"/>
    <w:uiPriority w:val="34"/>
    <w:qFormat/>
    <w:rsid w:val="007F60B2"/>
    <w:pPr>
      <w:ind w:left="720"/>
      <w:contextualSpacing/>
    </w:pPr>
    <w:rPr>
      <w:lang w:val="ru-RU"/>
    </w:rPr>
  </w:style>
  <w:style w:type="character" w:customStyle="1" w:styleId="FirstbulletChar">
    <w:name w:val="First bullet Char"/>
    <w:basedOn w:val="a4"/>
    <w:link w:val="Firstbullet"/>
    <w:locked/>
    <w:rsid w:val="007F60B2"/>
    <w:rPr>
      <w:rFonts w:ascii="Arial" w:eastAsia="Times New Roman" w:hAnsi="Arial" w:cs="Arial"/>
      <w:lang w:val="en-US" w:eastAsia="hr-HR"/>
    </w:rPr>
  </w:style>
  <w:style w:type="paragraph" w:customStyle="1" w:styleId="Firstbullet">
    <w:name w:val="First bullet"/>
    <w:basedOn w:val="a3"/>
    <w:link w:val="FirstbulletChar"/>
    <w:qFormat/>
    <w:rsid w:val="007F60B2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Arial"/>
      <w:lang w:val="en-US" w:eastAsia="hr-HR"/>
    </w:rPr>
  </w:style>
  <w:style w:type="character" w:customStyle="1" w:styleId="cris0">
    <w:name w:val="cris Знак"/>
    <w:basedOn w:val="a5"/>
    <w:link w:val="cris"/>
    <w:locked/>
    <w:rsid w:val="007F60B2"/>
    <w:rPr>
      <w:rFonts w:ascii="Times New Roman" w:eastAsia="Calibri" w:hAnsi="Times New Roman" w:cs="Times New Roman"/>
      <w:sz w:val="24"/>
      <w:szCs w:val="24"/>
      <w:lang w:val="ro-MD" w:eastAsia="zh-CN"/>
    </w:rPr>
  </w:style>
  <w:style w:type="paragraph" w:customStyle="1" w:styleId="cris">
    <w:name w:val="cris"/>
    <w:basedOn w:val="a6"/>
    <w:link w:val="cris0"/>
    <w:qFormat/>
    <w:rsid w:val="007F60B2"/>
    <w:pPr>
      <w:numPr>
        <w:numId w:val="2"/>
      </w:numPr>
      <w:tabs>
        <w:tab w:val="left" w:pos="426"/>
        <w:tab w:val="left" w:pos="993"/>
      </w:tabs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ro-MD" w:eastAsia="zh-CN"/>
    </w:rPr>
  </w:style>
  <w:style w:type="character" w:styleId="a7">
    <w:name w:val="Hyperlink"/>
    <w:basedOn w:val="a0"/>
    <w:uiPriority w:val="99"/>
    <w:unhideWhenUsed/>
    <w:rsid w:val="0087187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B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607"/>
    <w:rPr>
      <w:rFonts w:ascii="Segoe UI" w:hAnsi="Segoe UI" w:cs="Segoe UI"/>
      <w:sz w:val="18"/>
      <w:szCs w:val="18"/>
      <w:lang w:val="ro-RO"/>
    </w:rPr>
  </w:style>
  <w:style w:type="paragraph" w:styleId="aa">
    <w:name w:val="Normal (Web)"/>
    <w:aliases w:val="Знак,webb, Знак"/>
    <w:basedOn w:val="a"/>
    <w:link w:val="ab"/>
    <w:uiPriority w:val="99"/>
    <w:qFormat/>
    <w:rsid w:val="00B4744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rsid w:val="008F50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d">
    <w:name w:val="Нижний колонтитул Знак"/>
    <w:basedOn w:val="a0"/>
    <w:link w:val="ac"/>
    <w:rsid w:val="008F50D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D25CFC"/>
    <w:pPr>
      <w:widowControl w:val="0"/>
      <w:autoSpaceDE w:val="0"/>
      <w:autoSpaceDN w:val="0"/>
      <w:adjustRightInd w:val="0"/>
      <w:spacing w:after="0" w:line="41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">
    <w:name w:val="Знак Char Char"/>
    <w:basedOn w:val="a"/>
    <w:next w:val="a"/>
    <w:rsid w:val="00F234F2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customStyle="1" w:styleId="tt">
    <w:name w:val="tt"/>
    <w:basedOn w:val="a"/>
    <w:rsid w:val="00E91A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E74A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E2184B"/>
    <w:pPr>
      <w:spacing w:line="240" w:lineRule="auto"/>
    </w:pPr>
    <w:rPr>
      <w:rFonts w:eastAsiaTheme="minorEastAsia"/>
      <w:sz w:val="20"/>
      <w:szCs w:val="20"/>
      <w:lang w:val="ru-RU" w:eastAsia="zh-CN"/>
    </w:rPr>
  </w:style>
  <w:style w:type="character" w:customStyle="1" w:styleId="af">
    <w:name w:val="Текст примечания Знак"/>
    <w:basedOn w:val="a0"/>
    <w:link w:val="ae"/>
    <w:uiPriority w:val="99"/>
    <w:rsid w:val="00E2184B"/>
    <w:rPr>
      <w:rFonts w:eastAsiaTheme="minorEastAsia"/>
      <w:sz w:val="20"/>
      <w:szCs w:val="20"/>
      <w:lang w:eastAsia="zh-CN"/>
    </w:rPr>
  </w:style>
  <w:style w:type="character" w:customStyle="1" w:styleId="ab">
    <w:name w:val="Обычный (веб) Знак"/>
    <w:aliases w:val="Знак Знак,webb Знак, Знак Знак"/>
    <w:link w:val="aa"/>
    <w:uiPriority w:val="99"/>
    <w:rsid w:val="008B688E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f0">
    <w:name w:val="header"/>
    <w:basedOn w:val="a"/>
    <w:link w:val="af1"/>
    <w:uiPriority w:val="99"/>
    <w:unhideWhenUsed/>
    <w:rsid w:val="0033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35271"/>
    <w:rPr>
      <w:lang w:val="ro-RO"/>
    </w:rPr>
  </w:style>
  <w:style w:type="paragraph" w:customStyle="1" w:styleId="Normal1">
    <w:name w:val="Normal1"/>
    <w:basedOn w:val="a"/>
    <w:rsid w:val="0091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[Normal]"/>
    <w:link w:val="Normal0"/>
    <w:rsid w:val="00503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0">
    <w:name w:val="[Normal] Знак"/>
    <w:link w:val="Normal"/>
    <w:rsid w:val="0050383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503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semiHidden/>
    <w:rsid w:val="0050383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odytext2">
    <w:name w:val="Body text (2)_"/>
    <w:link w:val="Bodytext20"/>
    <w:rsid w:val="003B650E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3B650E"/>
    <w:pPr>
      <w:widowControl w:val="0"/>
      <w:shd w:val="clear" w:color="auto" w:fill="FFFFFF"/>
      <w:spacing w:before="360" w:after="60" w:line="336" w:lineRule="exact"/>
      <w:jc w:val="both"/>
    </w:pPr>
    <w:rPr>
      <w:rFonts w:ascii="Times New Roman" w:eastAsia="Times New Roman" w:hAnsi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A67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af2">
    <w:name w:val="annotation reference"/>
    <w:basedOn w:val="a0"/>
    <w:uiPriority w:val="99"/>
    <w:semiHidden/>
    <w:unhideWhenUsed/>
    <w:rsid w:val="00297D5D"/>
    <w:rPr>
      <w:sz w:val="16"/>
      <w:szCs w:val="16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297D5D"/>
    <w:rPr>
      <w:rFonts w:eastAsiaTheme="minorHAnsi"/>
      <w:b/>
      <w:bCs/>
      <w:lang w:val="ro-RO" w:eastAsia="en-US"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297D5D"/>
    <w:rPr>
      <w:rFonts w:eastAsiaTheme="minorEastAsia"/>
      <w:b/>
      <w:bCs/>
      <w:sz w:val="20"/>
      <w:szCs w:val="20"/>
      <w:lang w:val="ro-RO" w:eastAsia="zh-CN"/>
    </w:rPr>
  </w:style>
  <w:style w:type="paragraph" w:styleId="af5">
    <w:name w:val="footnote text"/>
    <w:basedOn w:val="a"/>
    <w:link w:val="af6"/>
    <w:uiPriority w:val="99"/>
    <w:semiHidden/>
    <w:unhideWhenUsed/>
    <w:rsid w:val="00037C7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37C78"/>
    <w:rPr>
      <w:sz w:val="20"/>
      <w:szCs w:val="20"/>
      <w:lang w:val="ro-RO"/>
    </w:rPr>
  </w:style>
  <w:style w:type="character" w:styleId="af7">
    <w:name w:val="footnote reference"/>
    <w:basedOn w:val="a0"/>
    <w:uiPriority w:val="99"/>
    <w:semiHidden/>
    <w:unhideWhenUsed/>
    <w:rsid w:val="00037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84EA1-743A-44C6-A8E2-6331A81D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Veaceslav Turcanu</cp:lastModifiedBy>
  <cp:revision>208</cp:revision>
  <cp:lastPrinted>2025-04-08T08:27:00Z</cp:lastPrinted>
  <dcterms:created xsi:type="dcterms:W3CDTF">2022-09-07T11:56:00Z</dcterms:created>
  <dcterms:modified xsi:type="dcterms:W3CDTF">2026-07-07T05:11:00Z</dcterms:modified>
</cp:coreProperties>
</file>